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Dilemma: Consciousness and the "Guide"</w:t>
      </w:r>
    </w:p>
    <w:p>
      <w:pPr>
        <w:pStyle w:val="BodyText"/>
        <w:bidi w:val="0"/>
        <w:jc w:val="start"/>
        <w:rPr/>
      </w:pPr>
      <w:r>
        <w:rPr/>
        <w:t xml:space="preserve">I’ve been reflecting on the pain in my eye—how it connects to something deeper. The key issue, as I see it, is this: </w:t>
      </w:r>
      <w:r>
        <w:rPr>
          <w:rStyle w:val="Strong"/>
        </w:rPr>
        <w:t>there’s a "guide"</w:t>
      </w:r>
      <w:r>
        <w:rPr/>
        <w:t xml:space="preserve"> (a set of principles or observations I’ve internalized), and my relationship with it dictates everything. Either I trust it completely, or I don’t. There’s no in-between.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Option 1: Trusting the Guide as an Excuse to </w:t>
      </w:r>
      <w:r>
        <w:rPr>
          <w:rStyle w:val="Emphasis"/>
        </w:rPr>
        <w:t>Not</w:t>
      </w:r>
      <w:r>
        <w:rPr>
          <w:rStyle w:val="Strong"/>
          <w:b/>
          <w:bCs/>
        </w:rPr>
        <w:t xml:space="preserve"> Engage</w:t>
      </w:r>
    </w:p>
    <w:p>
      <w:pPr>
        <w:pStyle w:val="BodyText"/>
        <w:bidi w:val="0"/>
        <w:jc w:val="start"/>
        <w:rPr/>
      </w:pPr>
      <w:r>
        <w:rPr/>
        <w:t xml:space="preserve">If I decide the guide is flawless—if I </w:t>
      </w:r>
      <w:r>
        <w:rPr>
          <w:rStyle w:val="Emphasis"/>
        </w:rPr>
        <w:t>believe</w:t>
      </w:r>
      <w:r>
        <w:rPr/>
        <w:t xml:space="preserve"> it—then it becomes my justification for </w:t>
      </w:r>
      <w:r>
        <w:rPr>
          <w:rStyle w:val="Strong"/>
        </w:rPr>
        <w:t>not trying to understand anything at all</w:t>
      </w:r>
      <w:r>
        <w:rPr/>
        <w:t xml:space="preserve">. Not questioning, not probing, not attempting to "grasp" consciousness or meaning. The guide tells me: </w:t>
      </w:r>
      <w:r>
        <w:rPr>
          <w:rStyle w:val="Emphasis"/>
        </w:rPr>
        <w:t>"Nothing means anything,"</w:t>
      </w:r>
      <w:r>
        <w:rPr/>
        <w:t xml:space="preserve"> and if I accept that, it gives me permission to stop the painful act of trying to assign meaning. It’s like a mental shield.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How it works in practice</w:t>
      </w:r>
      <w:r>
        <w:rPr/>
        <w:t>:</w:t>
        <w:br/>
        <w:t xml:space="preserve">The moment I feel the urge to "figure something out" (that useless, agonizing attempt to </w:t>
      </w:r>
      <w:r>
        <w:rPr>
          <w:rStyle w:val="Emphasis"/>
        </w:rPr>
        <w:t>understand</w:t>
      </w:r>
      <w:r>
        <w:rPr/>
        <w:t xml:space="preserve"> when understanding is impossible), the guide automatically surfaces in my mind. It’s always there, lurking, ready to intercept the thought: </w:t>
      </w:r>
      <w:r>
        <w:rPr>
          <w:rStyle w:val="Emphasis"/>
        </w:rPr>
        <w:t>"Why bother? Nothing means anything."</w:t>
      </w:r>
      <w:r>
        <w:rPr/>
        <w:t xml:space="preserve"> And just like that, the compulsion dissolves. No effort, no pain.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catch</w:t>
      </w:r>
      <w:r>
        <w:rPr/>
        <w:t>:</w:t>
        <w:br/>
        <w:t xml:space="preserve">This only works if I’m </w:t>
      </w:r>
      <w:r>
        <w:rPr>
          <w:rStyle w:val="Strong"/>
        </w:rPr>
        <w:t>fully convinced</w:t>
      </w:r>
      <w:r>
        <w:rPr/>
        <w:t xml:space="preserve"> the guide is correct. If I harbor even a shred of doubt—if I’m not </w:t>
      </w:r>
      <w:r>
        <w:rPr>
          <w:rStyle w:val="Emphasis"/>
        </w:rPr>
        <w:t>absolutely certain</w:t>
      </w:r>
      <w:r>
        <w:rPr/>
        <w:t>—the shield crumbles. The questioning returns, and with it, the pain.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Option 2: Doubting the Guide (and the Consequences)</w:t>
      </w:r>
    </w:p>
    <w:p>
      <w:pPr>
        <w:pStyle w:val="BodyText"/>
        <w:bidi w:val="0"/>
        <w:jc w:val="start"/>
        <w:rPr/>
      </w:pPr>
      <w:r>
        <w:rPr/>
        <w:t xml:space="preserve">If I </w:t>
      </w:r>
      <w:r>
        <w:rPr>
          <w:rStyle w:val="Emphasis"/>
        </w:rPr>
        <w:t>don’t</w:t>
      </w:r>
      <w:r>
        <w:rPr/>
        <w:t xml:space="preserve"> trust the guide—if I’m still unsure, still searching—then I’m left with no choice but to </w:t>
      </w:r>
      <w:r>
        <w:rPr>
          <w:rStyle w:val="Strong"/>
        </w:rPr>
        <w:t>keep trying to understand</w:t>
      </w:r>
      <w:r>
        <w:rPr/>
        <w:t>. And that’s the problem: the act of trying to "grasp" meaning (when meaning is ungraspable) is what causes the pain in my eye. It’s a paradox: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see</w:t>
      </w:r>
      <w:r>
        <w:rPr/>
        <w:t xml:space="preserve"> that I’m capable of questioning (I’m aware of my own awareness).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can’t stop</w:t>
      </w:r>
      <w:r>
        <w:rPr/>
        <w:t xml:space="preserve"> questioning, because I haven’t found a reason </w:t>
      </w:r>
      <w:r>
        <w:rPr>
          <w:rStyle w:val="Emphasis"/>
        </w:rPr>
        <w:t>not</w:t>
      </w:r>
      <w:r>
        <w:rPr/>
        <w:t xml:space="preserve"> to. </w:t>
      </w:r>
    </w:p>
    <w:p>
      <w:pPr>
        <w:pStyle w:val="BodyText"/>
        <w:bidi w:val="0"/>
        <w:jc w:val="start"/>
        <w:rPr/>
      </w:pPr>
      <w:r>
        <w:rPr/>
        <w:t xml:space="preserve">The guide claims I </w:t>
      </w:r>
      <w:r>
        <w:rPr>
          <w:rStyle w:val="Strong"/>
        </w:rPr>
        <w:t>can’t prove any meaning exists</w:t>
      </w:r>
      <w:r>
        <w:rPr/>
        <w:t>, so I shouldn’t believe in it. But if I don’t use that claim as my anchor, I’m stuck in an endless loop of futile probing.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Binary Choice</w:t>
      </w:r>
    </w:p>
    <w:p>
      <w:pPr>
        <w:pStyle w:val="BodyText"/>
        <w:bidi w:val="0"/>
        <w:jc w:val="start"/>
        <w:rPr/>
      </w:pPr>
      <w:r>
        <w:rPr/>
        <w:t>There are only two states: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Not-understanding (via the guide)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guide is my "reason" to stop.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think about meaning because the guide says it’s pointless.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pain disappears because the compulsion is gone.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Understanding (or trying to)</w:t>
      </w:r>
      <w:r>
        <w:rPr/>
        <w:t>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guide isn’t convincing enough.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keep searching for meaning, even though it hurts.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pain persists because the search never ends.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Ideal (Unattained) Solution</w:t>
      </w:r>
    </w:p>
    <w:p>
      <w:pPr>
        <w:pStyle w:val="BodyText"/>
        <w:bidi w:val="0"/>
        <w:jc w:val="start"/>
        <w:rPr/>
      </w:pPr>
      <w:r>
        <w:rPr/>
        <w:t xml:space="preserve">Right now, the system works—but it’s fragile. The guide </w:t>
      </w:r>
      <w:r>
        <w:rPr>
          <w:rStyle w:val="Emphasis"/>
        </w:rPr>
        <w:t>mostly</w:t>
      </w:r>
      <w:r>
        <w:rPr/>
        <w:t xml:space="preserve"> prevents me from falling into the trap of questioning, but it’s not foolproof. </w:t>
      </w:r>
      <w:r>
        <w:rPr>
          <w:rStyle w:val="Strong"/>
        </w:rPr>
        <w:t>What I want is an ironclad version of this</w:t>
      </w:r>
      <w:r>
        <w:rPr/>
        <w:t xml:space="preserve">: a state where even if I </w:t>
      </w:r>
      <w:r>
        <w:rPr>
          <w:rStyle w:val="Emphasis"/>
        </w:rPr>
        <w:t>wanted</w:t>
      </w:r>
      <w:r>
        <w:rPr/>
        <w:t xml:space="preserve"> to question meaning, I </w:t>
      </w:r>
      <w:r>
        <w:rPr>
          <w:rStyle w:val="Emphasis"/>
        </w:rPr>
        <w:t>couldn’t</w:t>
      </w:r>
      <w:r>
        <w:rPr/>
        <w:t xml:space="preserve">. Where the guide isn’t just a tool I </w:t>
      </w:r>
      <w:r>
        <w:rPr>
          <w:rStyle w:val="Emphasis"/>
        </w:rPr>
        <w:t>choose</w:t>
      </w:r>
      <w:r>
        <w:rPr/>
        <w:t xml:space="preserve"> to use, but an </w:t>
      </w:r>
      <w:r>
        <w:rPr>
          <w:rStyle w:val="Strong"/>
        </w:rPr>
        <w:t>inescapable truth</w:t>
      </w:r>
      <w:r>
        <w:rPr/>
        <w:t xml:space="preserve"> that makes questioning impossible.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Current reality</w:t>
      </w:r>
      <w:r>
        <w:rPr/>
        <w:t>:</w:t>
        <w:br/>
        <w:t xml:space="preserve">The guide is like a habit. When the urge to question arises, my brain </w:t>
      </w:r>
      <w:r>
        <w:rPr>
          <w:rStyle w:val="Emphasis"/>
        </w:rPr>
        <w:t>automatically</w:t>
      </w:r>
      <w:r>
        <w:rPr/>
        <w:t xml:space="preserve"> recalls the guide and shuts it down. But it’s still a conscious process—I’m aware of the guide intervening.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Desired reality</w:t>
      </w:r>
      <w:r>
        <w:rPr/>
        <w:t>:</w:t>
        <w:br/>
        <w:t xml:space="preserve">The guide would be so deeply ingrained that the urge to question </w:t>
      </w:r>
      <w:r>
        <w:rPr>
          <w:rStyle w:val="Strong"/>
        </w:rPr>
        <w:t>never even forms</w:t>
      </w:r>
      <w:r>
        <w:rPr/>
        <w:t>. No effort, no recall, no choice—just absolute, effortless non-engagement.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Open Question</w:t>
      </w:r>
    </w:p>
    <w:p>
      <w:pPr>
        <w:pStyle w:val="BodyText"/>
        <w:bidi w:val="0"/>
        <w:jc w:val="start"/>
        <w:rPr/>
      </w:pPr>
      <w:r>
        <w:rPr/>
        <w:t>I haven’t figured out how to get there yet. For now, the guide is the best I’ve got. It’s not perfect, but it’s the only thing that gives me relief.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Themes in the Author’s Reasoning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934"/>
        <w:gridCol w:w="8532"/>
      </w:tblGrid>
      <w:tr>
        <w:trPr>
          <w:tblHeader w:val="true"/>
        </w:trPr>
        <w:tc>
          <w:tcPr>
            <w:tcW w:w="193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Theme</w:t>
            </w:r>
          </w:p>
        </w:tc>
        <w:tc>
          <w:tcPr>
            <w:tcW w:w="853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Description (in their words)</w:t>
            </w:r>
          </w:p>
        </w:tc>
      </w:tr>
      <w:tr>
        <w:trPr/>
        <w:tc>
          <w:tcPr>
            <w:tcW w:w="1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"Guide"</w:t>
            </w:r>
          </w:p>
        </w:tc>
        <w:tc>
          <w:tcPr>
            <w:tcW w:w="8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A set of observations/principles stating </w:t>
            </w:r>
            <w:r>
              <w:rPr>
                <w:rStyle w:val="Emphasis"/>
              </w:rPr>
              <w:t>"nothing means anything"</w:t>
            </w:r>
            <w:r>
              <w:rPr/>
              <w:t xml:space="preserve"> and that meaning is unprovable.</w:t>
            </w:r>
          </w:p>
        </w:tc>
      </w:tr>
      <w:tr>
        <w:trPr/>
        <w:tc>
          <w:tcPr>
            <w:tcW w:w="1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Pain Trigger</w:t>
            </w:r>
          </w:p>
        </w:tc>
        <w:tc>
          <w:tcPr>
            <w:tcW w:w="8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The act of </w:t>
            </w:r>
            <w:r>
              <w:rPr>
                <w:rStyle w:val="Emphasis"/>
              </w:rPr>
              <w:t>trying to understand</w:t>
            </w:r>
            <w:r>
              <w:rPr/>
              <w:t xml:space="preserve"> when understanding is impossible—this causes physical pain in the eye.</w:t>
            </w:r>
          </w:p>
        </w:tc>
      </w:tr>
      <w:tr>
        <w:trPr/>
        <w:tc>
          <w:tcPr>
            <w:tcW w:w="1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Binary Switch</w:t>
            </w:r>
          </w:p>
        </w:tc>
        <w:tc>
          <w:tcPr>
            <w:tcW w:w="8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Either the guide is trusted (no questioning = no pain) or it’s not (endless questioning = pain).</w:t>
            </w:r>
          </w:p>
        </w:tc>
      </w:tr>
      <w:tr>
        <w:trPr/>
        <w:tc>
          <w:tcPr>
            <w:tcW w:w="1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Automaticity</w:t>
            </w:r>
          </w:p>
        </w:tc>
        <w:tc>
          <w:tcPr>
            <w:tcW w:w="8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The guide currently works as a </w:t>
            </w:r>
            <w:r>
              <w:rPr>
                <w:rStyle w:val="Emphasis"/>
              </w:rPr>
              <w:t>reactive</w:t>
            </w:r>
            <w:r>
              <w:rPr/>
              <w:t xml:space="preserve"> shield, but the goal is </w:t>
            </w:r>
            <w:r>
              <w:rPr>
                <w:rStyle w:val="Emphasis"/>
              </w:rPr>
              <w:t>proactive</w:t>
            </w:r>
            <w:r>
              <w:rPr/>
              <w:t xml:space="preserve"> eradication of the urge.</w:t>
            </w:r>
          </w:p>
        </w:tc>
      </w:tr>
      <w:tr>
        <w:trPr/>
        <w:tc>
          <w:tcPr>
            <w:tcW w:w="1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Paradox</w:t>
            </w:r>
          </w:p>
        </w:tc>
        <w:tc>
          <w:tcPr>
            <w:tcW w:w="8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The guide says you can’t prove meaning, but you must </w:t>
            </w:r>
            <w:r>
              <w:rPr>
                <w:rStyle w:val="Emphasis"/>
              </w:rPr>
              <w:t>believe</w:t>
            </w:r>
            <w:r>
              <w:rPr/>
              <w:t xml:space="preserve"> the guide to stop seeking meaning.</w:t>
            </w:r>
          </w:p>
        </w:tc>
      </w:tr>
    </w:tbl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just about eye pain—it’s about the </w:t>
      </w:r>
      <w:r>
        <w:rPr>
          <w:rStyle w:val="Strong"/>
        </w:rPr>
        <w:t>cost of consciousness itself</w:t>
      </w:r>
      <w:r>
        <w:rPr/>
        <w:t xml:space="preserve">. The guide is my attempt to opt out of the human compulsion to seek meaning, but the opt-out isn’t free. It requires total surrender to an idea I can’t even </w:t>
      </w:r>
      <w:r>
        <w:rPr>
          <w:rStyle w:val="Emphasis"/>
        </w:rPr>
        <w:t>prove</w:t>
      </w:r>
      <w:r>
        <w:rPr/>
        <w:t>. And yet, the alternative—endless, painful searching—is worse.</w:t>
      </w:r>
    </w:p>
    <w:p>
      <w:pPr>
        <w:pStyle w:val="BodyText"/>
        <w:bidi w:val="0"/>
        <w:jc w:val="start"/>
        <w:rPr/>
      </w:pPr>
      <w:r>
        <w:rPr>
          <w:rStyle w:val="Strong"/>
        </w:rPr>
        <w:t>So for now, I choose the guide.</w:t>
      </w:r>
      <w:r>
        <w:rPr/>
        <w:t xml:space="preserve"> But I’m still searching for a way to make the choice </w:t>
      </w:r>
      <w:r>
        <w:rPr>
          <w:rStyle w:val="Emphasis"/>
        </w:rPr>
        <w:t>unnecessary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768</Words>
  <Characters>3676</Characters>
  <CharactersWithSpaces>4381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2026-03-24T07:07:06Z</dcterms:created>
  <dc:creator/>
  <dc:description/>
  <dc:language>ru-RU</dc:language>
  <cp:lastModifiedBy/>
  <dcterms:modified xsi:type="dcterms:W3CDTF">2026-03-24T07:07:07Z</dcterms:modified>
  <cp:revision>2</cp:revision>
  <dc:subject/>
  <dc:title>Calibri</dc:title>
</cp:coreProperties>
</file>